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ROSAC0252ZPB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Toplița - Scaunul Rotund Borsec</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240" w:lineRule="auto"/>
        <w:jc w:val="both"/>
        <w:rPr>
          <w:sz w:val="22"/>
          <w:szCs w:val="22"/>
        </w:rPr>
      </w:pPr>
      <w:sdt>
        <w:sdtPr>
          <w:id w:val="-52040156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35774876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00521098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spacing w:after="0" w:line="276" w:lineRule="auto"/>
              <w:rPr>
                <w:b w:val="1"/>
                <w:bCs w:val="1"/>
                <w:sz w:val="22"/>
                <w:szCs w:val="22"/>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spacing w:after="0" w:line="276" w:lineRule="auto"/>
              <w:rPr>
                <w:sz w:val="22"/>
                <w:szCs w:val="22"/>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spacing w:after="0" w:line="276" w:lineRule="auto"/>
              <w:rPr>
                <w:sz w:val="22"/>
                <w:szCs w:val="22"/>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26,00</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0,46%</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Harghita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28866951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30966033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00533629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4977437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78398581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58056762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2</w:t>
      </w:r>
      <w:r w:rsidDel="00000000" w:rsidR="00000000" w:rsidRPr="00000000">
        <w:rPr>
          <w:sz w:val="22"/>
          <w:szCs w:val="22"/>
          <w:rtl w:val="0"/>
        </w:rPr>
        <w:t xml:space="preserve"/>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16,49</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w:t>
      </w:r>
      <w:r w:rsidDel="00000000" w:rsidR="00000000" w:rsidRPr="00000000">
        <w:rPr>
          <w:rtl w:val="0"/>
        </w:rPr>
        <w:t xml:space="preserve"> </w:t>
      </w:r>
      <w:r w:rsidDel="00000000" w:rsidR="00000000" w:rsidRPr="00000000">
        <w:rPr>
          <w:sz w:val="22"/>
          <w:szCs w:val="22"/>
          <w:rtl w:val="0"/>
        </w:rPr>
        <w:t xml:space="preserve">RONPA0496 Scaunul Rotund;</w:t>
      </w:r>
    </w:p>
    <w:p w:rsidR="00000000" w:rsidDel="00000000" w:rsidP="00000000" w:rsidRDefault="00000000" w:rsidRPr="00000000" w14:paraId="00000064">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753/2016 privind aprobarea Planului de management și a Regulamentului sitului Natura 2000 ROSCI0252 Toplița – Scaunul Rotund Borsec;</w:t>
      </w:r>
    </w:p>
    <w:p w:rsidR="00000000" w:rsidDel="00000000" w:rsidP="00000000" w:rsidRDefault="00000000" w:rsidRPr="00000000" w14:paraId="00000066">
      <w:pPr>
        <w:pBdr>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97.0" w:type="dxa"/>
        <w:tblLayout w:type="fixed"/>
        <w:tblLook w:val="0400"/>
      </w:tblPr>
      <w:tblGrid>
        <w:gridCol w:w="2655"/>
        <w:gridCol w:w="6315"/>
        <w:tblGridChange w:id="0">
          <w:tblGrid>
            <w:gridCol w:w="2655"/>
            <w:gridCol w:w="63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6C">
            <w:pPr>
              <w:spacing w:after="0" w:line="300" w:lineRule="auto"/>
              <w:rPr>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6F">
            <w:pPr>
              <w:spacing w:after="0" w:line="300" w:lineRule="auto"/>
              <w:rPr>
                <w:i w:val="1"/>
                <w:iCs w:val="1"/>
                <w:sz w:val="22"/>
                <w:szCs w:val="22"/>
              </w:rPr>
            </w:pPr>
            <w:r w:rsidDel="00000000" w:rsidR="00000000" w:rsidRPr="00000000">
              <w:rPr>
                <w:sz w:val="22"/>
                <w:szCs w:val="22"/>
                <w:rtl w:val="0"/>
              </w:rPr>
              <w:t xml:space="preserve">1193 </w:t>
            </w:r>
            <w:r w:rsidDel="00000000" w:rsidR="00000000" w:rsidRPr="00000000">
              <w:rPr>
                <w:i w:val="1"/>
                <w:iCs w:val="1"/>
                <w:sz w:val="22"/>
                <w:szCs w:val="22"/>
                <w:rtl w:val="0"/>
              </w:rPr>
              <w:t xml:space="preserve">Bombina variegata</w:t>
            </w:r>
          </w:p>
          <w:p w:rsidR="00000000" w:rsidDel="00000000" w:rsidP="00000000" w:rsidRDefault="00000000" w:rsidRPr="00000000" w14:paraId="00000070">
            <w:pPr>
              <w:spacing w:after="0" w:line="300" w:lineRule="auto"/>
              <w:rPr>
                <w:i w:val="1"/>
                <w:iCs w:val="1"/>
                <w:sz w:val="22"/>
                <w:szCs w:val="22"/>
              </w:rPr>
            </w:pPr>
            <w:r w:rsidDel="00000000" w:rsidR="00000000" w:rsidRPr="00000000">
              <w:rPr>
                <w:i w:val="1"/>
                <w:iCs w:val="1"/>
                <w:sz w:val="22"/>
                <w:szCs w:val="22"/>
                <w:rtl w:val="0"/>
              </w:rPr>
              <w:t xml:space="preserve">2001 Triturus montandoni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7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B">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7">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8">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A">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B">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9,51</w:t>
      </w:r>
      <w:r w:rsidDel="00000000" w:rsidR="00000000" w:rsidRPr="00000000">
        <w:rPr>
          <w:rtl w:val="0"/>
        </w:rPr>
      </w:r>
    </w:p>
    <w:p w:rsidR="00000000" w:rsidDel="00000000" w:rsidP="00000000" w:rsidRDefault="00000000" w:rsidRPr="00000000" w14:paraId="0000009D">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753/2016 privind aprobarea Planului de management și a Regulamentului sitului Natura 2000 ROSCI0252 Toplița – Scaunul Rotund Borsec;</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1">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97.0" w:type="dxa"/>
        <w:tblLayout w:type="fixed"/>
        <w:tblLook w:val="0400"/>
      </w:tblPr>
      <w:tblGrid>
        <w:gridCol w:w="2805"/>
        <w:gridCol w:w="6150"/>
        <w:tblGridChange w:id="0">
          <w:tblGrid>
            <w:gridCol w:w="2805"/>
            <w:gridCol w:w="61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jc w:val="both"/>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A6">
            <w:pPr>
              <w:spacing w:after="0" w:line="300" w:lineRule="auto"/>
              <w:jc w:val="both"/>
              <w:rPr>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A9">
            <w:pPr>
              <w:spacing w:after="0" w:line="300" w:lineRule="auto"/>
              <w:rPr>
                <w:i w:val="1"/>
                <w:iCs w:val="1"/>
                <w:sz w:val="22"/>
                <w:szCs w:val="22"/>
              </w:rPr>
            </w:pPr>
            <w:r w:rsidDel="00000000" w:rsidR="00000000" w:rsidRPr="00000000">
              <w:rPr>
                <w:sz w:val="22"/>
                <w:szCs w:val="22"/>
                <w:rtl w:val="0"/>
              </w:rPr>
              <w:t xml:space="preserve">1354* </w:t>
            </w:r>
            <w:r w:rsidDel="00000000" w:rsidR="00000000" w:rsidRPr="00000000">
              <w:rPr>
                <w:i w:val="1"/>
                <w:iCs w:val="1"/>
                <w:sz w:val="22"/>
                <w:szCs w:val="22"/>
                <w:rtl w:val="0"/>
              </w:rPr>
              <w:t xml:space="preserve">Ursus arctos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B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D">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0">
      <w:pPr>
        <w:spacing w:after="0" w:line="300" w:lineRule="auto"/>
        <w:rPr>
          <w:sz w:val="22"/>
          <w:szCs w:val="22"/>
        </w:rPr>
      </w:pPr>
      <w:r w:rsidDel="00000000" w:rsidR="00000000" w:rsidRPr="00000000">
        <w:rPr>
          <w:rtl w:val="0"/>
        </w:rPr>
      </w:r>
    </w:p>
    <w:p w:rsidR="00000000" w:rsidDel="00000000" w:rsidP="00000000" w:rsidRDefault="00000000" w:rsidRPr="00000000" w14:paraId="000000D1">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Avram, S.E.; Barbu Tudoran, L.; Borodi, G.; Petean, I. Microstructural Comparison of the Mineralization Within Borsec and Tusnad Public Springs. Water 2025, 17(19), 2892.</w:t>
      </w:r>
    </w:p>
    <w:p w:rsidR="00000000" w:rsidDel="00000000" w:rsidP="00000000" w:rsidRDefault="00000000" w:rsidRPr="00000000" w14:paraId="000000D3">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D4">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pBdr>
        <w:spacing w:line="254" w:lineRule="auto"/>
        <w:rPr>
          <w:sz w:val="22"/>
          <w:szCs w:val="22"/>
        </w:rPr>
      </w:pPr>
      <w:r w:rsidDel="00000000" w:rsidR="00000000" w:rsidRPr="00000000">
        <w:rPr>
          <w:sz w:val="22"/>
          <w:szCs w:val="22"/>
          <w:rtl w:val="0"/>
        </w:rPr>
        <w:t xml:space="preserve">Consultările publice  au fost realizate la: 18 iunie 2025 – online, jud. Harghita. Ulterior, în cadrul procesului de consultare extins la nivel național au avut loc consultări suplimentare online, în data de 19 ianuarie 2026, iar în perioada 26-27 martie 2026 au avut loc consultări publice la Prefectura Harghita, cu participarea factorilor interesați relevanți din acest județ.</w:t>
      </w:r>
    </w:p>
    <w:p w:rsidR="00000000" w:rsidDel="00000000" w:rsidP="00000000" w:rsidRDefault="00000000" w:rsidRPr="00000000" w14:paraId="000000D6">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7">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8">
      <w:pPr>
        <w:spacing w:after="0" w:line="300" w:lineRule="auto"/>
        <w:rPr>
          <w:b w:val="1"/>
          <w:bCs w:val="1"/>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D9">
      <w:pPr>
        <w:spacing w:after="0" w:line="300" w:lineRule="auto"/>
        <w:rPr>
          <w:sz w:val="22"/>
          <w:szCs w:val="22"/>
        </w:rPr>
      </w:pPr>
      <w:r w:rsidDel="00000000" w:rsidR="00000000" w:rsidRPr="00000000">
        <w:rPr>
          <w:rtl w:val="0"/>
        </w:rPr>
      </w:r>
    </w:p>
    <w:p w:rsidR="00000000" w:rsidDel="00000000" w:rsidP="00000000" w:rsidRDefault="00000000" w:rsidRPr="00000000" w14:paraId="000000DA">
      <w:pPr>
        <w:spacing w:after="0" w:line="300" w:lineRule="auto"/>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240" w:lineRule="auto"/>
    </w:pPr>
    <w:rPr>
      <w:b w:val="1"/>
      <w:bCs w:val="1"/>
      <w:sz w:val="48"/>
      <w:szCs w:val="48"/>
    </w:rPr>
  </w:style>
  <w:style w:type="paragraph" w:styleId="Heading2">
    <w:name w:val="heading 2"/>
    <w:basedOn w:val="Normal"/>
    <w:next w:val="Normal"/>
    <w:pPr>
      <w:keepNext w:val="1"/>
      <w:keepLines w:val="1"/>
      <w:spacing w:after="80" w:before="360" w:line="240" w:lineRule="auto"/>
    </w:pPr>
    <w:rPr>
      <w:b w:val="1"/>
      <w:bCs w:val="1"/>
      <w:sz w:val="36"/>
      <w:szCs w:val="36"/>
    </w:rPr>
  </w:style>
  <w:style w:type="paragraph" w:styleId="Heading3">
    <w:name w:val="heading 3"/>
    <w:basedOn w:val="Normal"/>
    <w:next w:val="Normal"/>
    <w:pPr>
      <w:keepNext w:val="1"/>
      <w:keepLines w:val="1"/>
      <w:spacing w:after="80" w:before="280" w:line="240" w:lineRule="auto"/>
    </w:pPr>
    <w:rPr>
      <w:b w:val="1"/>
      <w:bCs w:val="1"/>
      <w:sz w:val="28"/>
      <w:szCs w:val="28"/>
    </w:rPr>
  </w:style>
  <w:style w:type="paragraph" w:styleId="Heading4">
    <w:name w:val="heading 4"/>
    <w:basedOn w:val="Normal"/>
    <w:next w:val="Normal"/>
    <w:pPr>
      <w:keepNext w:val="1"/>
      <w:keepLines w:val="1"/>
      <w:spacing w:after="40" w:before="240" w:line="240" w:lineRule="auto"/>
    </w:pPr>
    <w:rPr>
      <w:b w:val="1"/>
      <w:bCs w:val="1"/>
      <w:sz w:val="24"/>
      <w:szCs w:val="24"/>
    </w:rPr>
  </w:style>
  <w:style w:type="paragraph" w:styleId="Heading5">
    <w:name w:val="heading 5"/>
    <w:basedOn w:val="Normal"/>
    <w:next w:val="Normal"/>
    <w:pPr>
      <w:keepNext w:val="1"/>
      <w:keepLines w:val="1"/>
      <w:spacing w:after="40" w:before="220" w:line="240" w:lineRule="auto"/>
    </w:pPr>
    <w:rPr>
      <w:b w:val="1"/>
      <w:bCs w:val="1"/>
      <w:sz w:val="22"/>
      <w:szCs w:val="22"/>
    </w:rPr>
  </w:style>
  <w:style w:type="paragraph" w:styleId="Heading6">
    <w:name w:val="heading 6"/>
    <w:basedOn w:val="Normal"/>
    <w:next w:val="Normal"/>
    <w:pPr>
      <w:keepNext w:val="1"/>
      <w:keepLines w:val="1"/>
      <w:spacing w:after="40" w:before="200" w:line="240" w:lineRule="auto"/>
    </w:pPr>
    <w:rPr>
      <w:b w:val="1"/>
      <w:bCs w:val="1"/>
    </w:rPr>
  </w:style>
  <w:style w:type="paragraph" w:styleId="Title">
    <w:name w:val="Title"/>
    <w:basedOn w:val="Normal"/>
    <w:next w:val="Normal"/>
    <w:pPr>
      <w:keepNext w:val="1"/>
      <w:keepLines w:val="1"/>
      <w:spacing w:after="120" w:before="480" w:line="240" w:lineRule="auto"/>
    </w:pPr>
    <w:rPr>
      <w:b w:val="1"/>
      <w:bCs w:val="1"/>
      <w:sz w:val="72"/>
      <w:szCs w:val="72"/>
    </w:rPr>
  </w:style>
  <w:style w:type="paragraph" w:styleId="Subtitle">
    <w:name w:val="Subtitle"/>
    <w:basedOn w:val="Normal"/>
    <w:next w:val="Normal"/>
    <w:pPr>
      <w:keepNext w:val="1"/>
      <w:keepLines w:val="1"/>
      <w:spacing w:after="80" w:before="360" w:line="24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emkYpjmkmGNHptZDrikr74Xce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1Fb25NTUplUTNNcTFtVGo0MW42akhvMHRDaDV6bzd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